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5E2F" w14:textId="77777777" w:rsidR="00170D7A" w:rsidRDefault="00563F32" w:rsidP="00563F32">
      <w:pPr>
        <w:jc w:val="center"/>
      </w:pPr>
      <w:r>
        <w:t>FY23 January Budget Proposal Summary</w:t>
      </w:r>
    </w:p>
    <w:p w14:paraId="4658E54D" w14:textId="77777777" w:rsidR="00563F32" w:rsidRDefault="00563F32" w:rsidP="00563F32">
      <w:pPr>
        <w:jc w:val="center"/>
      </w:pPr>
    </w:p>
    <w:p w14:paraId="5B61859A" w14:textId="77777777" w:rsidR="00563F32" w:rsidRDefault="00563F32" w:rsidP="00563F32">
      <w:pPr>
        <w:pStyle w:val="ListParagraph"/>
        <w:numPr>
          <w:ilvl w:val="0"/>
          <w:numId w:val="1"/>
        </w:numPr>
      </w:pPr>
      <w:r>
        <w:t>FY23 State Budget Surplus ($45.7B) - $1</w:t>
      </w:r>
      <w:r>
        <w:rPr>
          <w:color w:val="000000"/>
        </w:rPr>
        <w:t>.3B </w:t>
      </w:r>
      <w:r>
        <w:t>may be returned to tax payers</w:t>
      </w:r>
    </w:p>
    <w:p w14:paraId="474F46F4" w14:textId="77777777" w:rsidR="00563F32" w:rsidRDefault="00563F32" w:rsidP="00563F32">
      <w:pPr>
        <w:pStyle w:val="ListParagraph"/>
        <w:numPr>
          <w:ilvl w:val="0"/>
          <w:numId w:val="1"/>
        </w:numPr>
      </w:pPr>
      <w:r>
        <w:t xml:space="preserve">5.33% COLA for </w:t>
      </w:r>
      <w:r>
        <w:rPr>
          <w:color w:val="000000"/>
        </w:rPr>
        <w:t>apportionments*</w:t>
      </w:r>
    </w:p>
    <w:p w14:paraId="4761C898" w14:textId="77777777" w:rsidR="00563F32" w:rsidRDefault="00563F32" w:rsidP="00563F32">
      <w:pPr>
        <w:pStyle w:val="ListParagraph"/>
        <w:numPr>
          <w:ilvl w:val="0"/>
          <w:numId w:val="1"/>
        </w:numPr>
      </w:pPr>
      <w:r>
        <w:t>$24.9M increase to Prop 98</w:t>
      </w:r>
    </w:p>
    <w:p w14:paraId="0D5953C7" w14:textId="77777777" w:rsidR="00563F32" w:rsidRDefault="00563F32" w:rsidP="00563F32">
      <w:pPr>
        <w:pStyle w:val="ListParagraph"/>
        <w:numPr>
          <w:ilvl w:val="0"/>
          <w:numId w:val="1"/>
        </w:numPr>
      </w:pPr>
      <w:r>
        <w:t>Pension obligations - $3.9B for FY23 which will keep PERS contribution rate for us @ 22.91% and STRS @ 16.92%</w:t>
      </w:r>
    </w:p>
    <w:p w14:paraId="36EFA3A1" w14:textId="77777777" w:rsidR="00563F32" w:rsidRDefault="00563F32" w:rsidP="00563F32">
      <w:pPr>
        <w:pStyle w:val="ListParagraph"/>
        <w:numPr>
          <w:ilvl w:val="0"/>
          <w:numId w:val="1"/>
        </w:numPr>
      </w:pPr>
      <w:r>
        <w:t>Permanently extends ‘hold harmless’ provision to create FY25 as the new funding floor – idea is to ‘smooth’ the potential ‘funding cliff’</w:t>
      </w:r>
    </w:p>
    <w:p w14:paraId="22652305" w14:textId="77777777" w:rsidR="00563F32" w:rsidRDefault="00563F32" w:rsidP="00563F32">
      <w:pPr>
        <w:pStyle w:val="ListParagraph"/>
        <w:numPr>
          <w:ilvl w:val="1"/>
          <w:numId w:val="1"/>
        </w:numPr>
      </w:pPr>
      <w:r>
        <w:rPr>
          <w:b/>
          <w:bCs/>
          <w:u w:val="single"/>
        </w:rPr>
        <w:t>NOTE</w:t>
      </w:r>
      <w:r>
        <w:t xml:space="preserve">: COLAs would </w:t>
      </w:r>
      <w:r>
        <w:rPr>
          <w:u w:val="single"/>
        </w:rPr>
        <w:t>NOT</w:t>
      </w:r>
      <w:r>
        <w:t xml:space="preserve"> be cumulative the way they have been since FY18; They would be statutory only</w:t>
      </w:r>
    </w:p>
    <w:p w14:paraId="1CFD2DE4" w14:textId="77777777" w:rsidR="00563F32" w:rsidRDefault="00563F32" w:rsidP="00563F32">
      <w:pPr>
        <w:pStyle w:val="ListParagraph"/>
        <w:numPr>
          <w:ilvl w:val="0"/>
          <w:numId w:val="1"/>
        </w:numPr>
      </w:pPr>
      <w:r>
        <w:t>$105M (one-time): common course numbering</w:t>
      </w:r>
    </w:p>
    <w:p w14:paraId="37D64AB6" w14:textId="77777777" w:rsidR="00563F32" w:rsidRDefault="00563F32" w:rsidP="00563F32">
      <w:pPr>
        <w:pStyle w:val="ListParagraph"/>
        <w:numPr>
          <w:ilvl w:val="0"/>
          <w:numId w:val="1"/>
        </w:numPr>
      </w:pPr>
      <w:r>
        <w:t>$65M (one-time): transfer reform</w:t>
      </w:r>
    </w:p>
    <w:p w14:paraId="32FCFB83" w14:textId="77777777" w:rsidR="00563F32" w:rsidRDefault="00563F32" w:rsidP="00563F32">
      <w:pPr>
        <w:pStyle w:val="ListParagraph"/>
        <w:numPr>
          <w:ilvl w:val="0"/>
          <w:numId w:val="1"/>
        </w:numPr>
      </w:pPr>
      <w:r>
        <w:t>$25M (one-time): procurement and implementation of software that maps intersegmental curricular pathways</w:t>
      </w:r>
    </w:p>
    <w:p w14:paraId="2E49B0CD" w14:textId="77777777" w:rsidR="00563F32" w:rsidRDefault="00563F32" w:rsidP="00563F32">
      <w:pPr>
        <w:pStyle w:val="ListParagraph"/>
        <w:numPr>
          <w:ilvl w:val="0"/>
          <w:numId w:val="1"/>
        </w:numPr>
      </w:pPr>
      <w:r>
        <w:t>$10M (ongoing): EEO program</w:t>
      </w:r>
    </w:p>
    <w:p w14:paraId="5C1064A4" w14:textId="77777777" w:rsidR="00563F32" w:rsidRDefault="00563F32" w:rsidP="00563F32">
      <w:pPr>
        <w:pStyle w:val="ListParagraph"/>
        <w:numPr>
          <w:ilvl w:val="0"/>
          <w:numId w:val="1"/>
        </w:numPr>
      </w:pPr>
      <w:r>
        <w:t>$10M (ongoing): resources to FAOs</w:t>
      </w:r>
    </w:p>
    <w:p w14:paraId="7BF1BBF2" w14:textId="77777777" w:rsidR="00563F32" w:rsidRDefault="00563F32" w:rsidP="00563F32">
      <w:pPr>
        <w:pStyle w:val="ListParagraph"/>
        <w:numPr>
          <w:ilvl w:val="0"/>
          <w:numId w:val="1"/>
        </w:numPr>
      </w:pPr>
      <w:r>
        <w:t xml:space="preserve">$10M (ongoing): foster youth support services offered by </w:t>
      </w:r>
      <w:proofErr w:type="spellStart"/>
      <w:r>
        <w:rPr>
          <w:i/>
          <w:iCs/>
        </w:rPr>
        <w:t>NextUp</w:t>
      </w:r>
      <w:proofErr w:type="spellEnd"/>
      <w:r>
        <w:t xml:space="preserve"> from 20 to 30 districts</w:t>
      </w:r>
    </w:p>
    <w:p w14:paraId="03C420FD" w14:textId="77777777" w:rsidR="00563F32" w:rsidRDefault="00563F32" w:rsidP="00563F32">
      <w:pPr>
        <w:pStyle w:val="ListParagraph"/>
        <w:numPr>
          <w:ilvl w:val="0"/>
          <w:numId w:val="1"/>
        </w:numPr>
      </w:pPr>
      <w:r>
        <w:t>$200M (ongoing): augment PT faculty health insurance</w:t>
      </w:r>
    </w:p>
    <w:p w14:paraId="163236F2" w14:textId="77777777" w:rsidR="00563F32" w:rsidRDefault="00563F32" w:rsidP="00563F32">
      <w:pPr>
        <w:pStyle w:val="ListParagraph"/>
        <w:numPr>
          <w:ilvl w:val="0"/>
          <w:numId w:val="1"/>
        </w:numPr>
      </w:pPr>
      <w:r>
        <w:t>A2MEND9Ongoing): $1.1M increase</w:t>
      </w:r>
    </w:p>
    <w:p w14:paraId="1F729BC3" w14:textId="77777777" w:rsidR="00563F32" w:rsidRDefault="00563F32" w:rsidP="00563F32">
      <w:pPr>
        <w:pStyle w:val="ListParagraph"/>
        <w:numPr>
          <w:ilvl w:val="0"/>
          <w:numId w:val="1"/>
        </w:numPr>
      </w:pPr>
      <w:r>
        <w:t>Umoja (one-time): $179K for study on practices that promote student success for African American students</w:t>
      </w:r>
    </w:p>
    <w:p w14:paraId="0ACE4403" w14:textId="77777777" w:rsidR="00563F32" w:rsidRDefault="00563F32" w:rsidP="00563F32">
      <w:pPr>
        <w:pStyle w:val="ListParagraph"/>
        <w:numPr>
          <w:ilvl w:val="0"/>
          <w:numId w:val="1"/>
        </w:numPr>
      </w:pPr>
      <w:proofErr w:type="spellStart"/>
      <w:r>
        <w:t>CCCTech</w:t>
      </w:r>
      <w:proofErr w:type="spellEnd"/>
      <w:r>
        <w:t xml:space="preserve"> Modernization &amp; Data Protections: $75M (one-time) &amp; $25M (ongoing)</w:t>
      </w:r>
    </w:p>
    <w:p w14:paraId="2613D519" w14:textId="77777777" w:rsidR="00563F32" w:rsidRDefault="00563F32" w:rsidP="00563F32">
      <w:pPr>
        <w:pStyle w:val="ListParagraph"/>
        <w:numPr>
          <w:ilvl w:val="0"/>
          <w:numId w:val="1"/>
        </w:numPr>
      </w:pPr>
      <w:r>
        <w:t>Deferred maintenance (includes instructional equipment – IELM): $387.6M (one-time) Prop 98 increase</w:t>
      </w:r>
    </w:p>
    <w:p w14:paraId="61E2E7C9" w14:textId="77777777" w:rsidR="00563F32" w:rsidRDefault="00563F32" w:rsidP="00563F32">
      <w:pPr>
        <w:pStyle w:val="ListParagraph"/>
        <w:numPr>
          <w:ilvl w:val="0"/>
          <w:numId w:val="1"/>
        </w:numPr>
      </w:pPr>
      <w:r>
        <w:t xml:space="preserve">$150M (one-time): support efforts &amp; strategies to increase student retention rates &amp; enrollment </w:t>
      </w:r>
    </w:p>
    <w:p w14:paraId="58E303B4" w14:textId="77777777" w:rsidR="00563F32" w:rsidRDefault="00563F32" w:rsidP="00563F32">
      <w:pPr>
        <w:pStyle w:val="ListParagraph"/>
        <w:numPr>
          <w:ilvl w:val="1"/>
          <w:numId w:val="1"/>
        </w:numPr>
      </w:pPr>
      <w:r>
        <w:t>Former students who have withdrawn</w:t>
      </w:r>
    </w:p>
    <w:p w14:paraId="1811E9A2" w14:textId="77777777" w:rsidR="00563F32" w:rsidRDefault="00563F32" w:rsidP="00563F32">
      <w:pPr>
        <w:pStyle w:val="ListParagraph"/>
        <w:numPr>
          <w:ilvl w:val="1"/>
          <w:numId w:val="1"/>
        </w:numPr>
      </w:pPr>
      <w:r>
        <w:t>Current &amp; prospective student hesitant to remain/enroll in college – non-native English speakers, FYP students, working learners, student parents, &amp; re-entry students</w:t>
      </w:r>
    </w:p>
    <w:p w14:paraId="023CAC25" w14:textId="77777777" w:rsidR="00563F32" w:rsidRDefault="00563F32" w:rsidP="00563F32">
      <w:pPr>
        <w:pStyle w:val="ListParagraph"/>
        <w:numPr>
          <w:ilvl w:val="0"/>
          <w:numId w:val="1"/>
        </w:numPr>
      </w:pPr>
      <w:r>
        <w:t>Affordability</w:t>
      </w:r>
    </w:p>
    <w:p w14:paraId="6CA4B512" w14:textId="77777777" w:rsidR="00563F32" w:rsidRDefault="00563F32" w:rsidP="00563F32">
      <w:pPr>
        <w:pStyle w:val="ListParagraph"/>
        <w:numPr>
          <w:ilvl w:val="1"/>
          <w:numId w:val="1"/>
        </w:numPr>
      </w:pPr>
      <w:r>
        <w:t>$300M (one-time): Learning-Aligned Employment Program administered by CA student Aid Commission</w:t>
      </w:r>
    </w:p>
    <w:p w14:paraId="05C36523" w14:textId="77777777" w:rsidR="00563F32" w:rsidRDefault="00563F32" w:rsidP="00563F32">
      <w:pPr>
        <w:pStyle w:val="ListParagraph"/>
        <w:numPr>
          <w:ilvl w:val="1"/>
          <w:numId w:val="1"/>
        </w:numPr>
      </w:pPr>
      <w:r>
        <w:t>$100M (ongoing): SSCGP funds for newly eligible students for Cal Grant B or C award</w:t>
      </w:r>
    </w:p>
    <w:p w14:paraId="340BA1FE" w14:textId="77777777" w:rsidR="00563F32" w:rsidRDefault="00563F32" w:rsidP="00563F32">
      <w:pPr>
        <w:pStyle w:val="ListParagraph"/>
        <w:numPr>
          <w:ilvl w:val="0"/>
          <w:numId w:val="1"/>
        </w:numPr>
      </w:pPr>
      <w:r>
        <w:t>$20M (one-time): AB540 students</w:t>
      </w:r>
    </w:p>
    <w:p w14:paraId="3D52628B" w14:textId="77777777" w:rsidR="00563F32" w:rsidRDefault="00563F32" w:rsidP="00563F32">
      <w:pPr>
        <w:pStyle w:val="ListParagraph"/>
        <w:numPr>
          <w:ilvl w:val="0"/>
          <w:numId w:val="1"/>
        </w:numPr>
      </w:pPr>
      <w:r>
        <w:t xml:space="preserve">Pathways Grant Program for High-Skilled Careers </w:t>
      </w:r>
    </w:p>
    <w:p w14:paraId="1C9B3D19" w14:textId="77777777" w:rsidR="00563F32" w:rsidRDefault="00563F32" w:rsidP="00563F32">
      <w:pPr>
        <w:pStyle w:val="ListParagraph"/>
        <w:numPr>
          <w:ilvl w:val="1"/>
          <w:numId w:val="1"/>
        </w:numPr>
      </w:pPr>
      <w:r>
        <w:t>$20M (one-time): increase</w:t>
      </w:r>
    </w:p>
    <w:p w14:paraId="0A83B051" w14:textId="77777777" w:rsidR="00563F32" w:rsidRDefault="00563F32" w:rsidP="00563F32">
      <w:pPr>
        <w:rPr>
          <w:color w:val="1F497D"/>
        </w:rPr>
      </w:pPr>
    </w:p>
    <w:p w14:paraId="790FCACB" w14:textId="77777777" w:rsidR="00563F32" w:rsidRDefault="00563F32" w:rsidP="00563F32">
      <w:pPr>
        <w:rPr>
          <w:color w:val="000000"/>
        </w:rPr>
      </w:pPr>
      <w:r>
        <w:rPr>
          <w:color w:val="000000"/>
        </w:rPr>
        <w:t>*Due to drop in FTES, VCCCD will not RECEIVE an overall 5.33% increase in unrestricted revenue</w:t>
      </w:r>
    </w:p>
    <w:p w14:paraId="6DE3D6DD" w14:textId="77777777" w:rsidR="00563F32" w:rsidRDefault="00563F32" w:rsidP="00563F32"/>
    <w:sectPr w:rsidR="00563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A19"/>
    <w:multiLevelType w:val="hybridMultilevel"/>
    <w:tmpl w:val="2D66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32"/>
    <w:rsid w:val="000C141E"/>
    <w:rsid w:val="00170D7A"/>
    <w:rsid w:val="00563F32"/>
    <w:rsid w:val="00E4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A078"/>
  <w15:chartTrackingRefBased/>
  <w15:docId w15:val="{DA9A9C70-5C64-4DA0-A068-6B5BB768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F32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0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Moorpark College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Chang-Sanders</dc:creator>
  <cp:keywords/>
  <dc:description/>
  <cp:lastModifiedBy>Linda Chang-Sanders</cp:lastModifiedBy>
  <cp:revision>2</cp:revision>
  <dcterms:created xsi:type="dcterms:W3CDTF">2022-01-21T17:17:00Z</dcterms:created>
  <dcterms:modified xsi:type="dcterms:W3CDTF">2022-01-21T17:17:00Z</dcterms:modified>
</cp:coreProperties>
</file>